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>по</w:t>
      </w:r>
      <w:r>
        <w:rPr>
          <w:rFonts w:ascii="Times New Roman" w:cs="Times New Roman" w:hAnsi="Times New Roman"/>
          <w:b/>
          <w:sz w:val="24"/>
          <w:szCs w:val="24"/>
        </w:rPr>
        <w:t xml:space="preserve"> вероятности и статистике</w:t>
      </w:r>
      <w:r>
        <w:rPr>
          <w:rFonts w:ascii="Times New Roman" w:cs="Times New Roman" w:hAnsi="Times New Roman"/>
          <w:b/>
          <w:sz w:val="24"/>
          <w:szCs w:val="24"/>
        </w:rPr>
        <w:t>, 10-11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Р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</w:rPr>
      </w:pPr>
      <w:r>
        <w:rPr>
          <w:rStyle w:val="C1"/>
          <w:b/>
          <w:i/>
        </w:rPr>
        <w:t>Используемая литература:</w:t>
      </w:r>
    </w:p>
    <w:p>
      <w:pPr>
        <w:pStyle w:val="ListParagraph"/>
        <w:numPr>
          <w:ilvl w:val="0"/>
          <w:numId w:val="27"/>
        </w:numPr>
        <w:spacing w:line="360" w:lineRule="auto"/>
        <w:ind w:left="1077" w:hanging="357"/>
        <w:rPr>
          <w:rFonts w:cs="Times New Roman"/>
          <w:szCs w:val="24"/>
        </w:rPr>
      </w:pPr>
      <w:r>
        <w:rPr>
          <w:rFonts w:cs="Times New Roman"/>
          <w:szCs w:val="24"/>
        </w:rPr>
        <w:t>Математика: алгебра и начала математического анализа, геометрия. Алгебра и начала математического анализа. 10-11 классы: учеб. для общеобразоват. организаций : базовый и углубленный уровни / [Ш.А.Алимов, Ю.М. Колягин, М.В. Ткачева и др.].- 3-е изд. – М. : Пр</w:t>
      </w:r>
      <w:r>
        <w:rPr>
          <w:rFonts w:cs="Times New Roman"/>
          <w:szCs w:val="24"/>
        </w:rPr>
        <w:t>освещение, 2016.</w:t>
      </w:r>
      <w:r>
        <w:rPr>
          <w:rFonts w:cs="Times New Roman"/>
          <w:szCs w:val="24"/>
        </w:rPr>
        <w:t xml:space="preserve"> 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курса</w:t>
      </w:r>
      <w:r>
        <w:rPr>
          <w:rStyle w:val="C1"/>
          <w:b/>
          <w:bCs/>
          <w:i/>
        </w:rPr>
        <w:t>:</w:t>
      </w:r>
    </w:p>
    <w:p>
      <w:pPr>
        <w:spacing w:before="0" w:after="0" w:line="36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>
      <w:pPr>
        <w:spacing w:before="0" w:after="0" w:line="360"/>
        <w:ind w:firstLine="600"/>
        <w:jc w:val="both"/>
        <w:rPr>
          <w:rFonts w:cs="Times New Roman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Fonts w:ascii="Times New Roman" w:hAnsi="Times New Roman"/>
          <w:b w:val="off"/>
          <w:i w:val="off"/>
          <w:color w:val="000000"/>
          <w:sz w:val="24"/>
          <w:szCs w:val="24"/>
        </w:rPr>
      </w:pP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>На изучение курса «Вероятность и статистика» на базовом уровне</w:t>
      </w:r>
      <w:r>
        <w:rPr>
          <w:rFonts w:ascii="Times New Roman" w:hAnsi="Times New Roman"/>
          <w:b w:val="off"/>
          <w:i w:val="off"/>
          <w:color w:val="000000"/>
          <w:sz w:val="24"/>
          <w:szCs w:val="24"/>
        </w:rPr>
        <w:t xml:space="preserve"> отводится 68 часов: в 10 классе – 34 часов (1 час в неделю), в 11 классе – 34 часа (1 час в неделю).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/>
      </w:pPr>
      <w:r>
        <w:t xml:space="preserve">Рабочая программа включает следующие компоненты: </w:t>
      </w:r>
    </w:p>
    <w:p>
      <w:pPr>
        <w:pStyle w:val="ListParagraph"/>
        <w:spacing w:line="360" w:lineRule="auto"/>
        <w:ind w:left="0" w:righ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/>
      </w:pPr>
      <w:r>
        <w:t>2. Пояснительная записка</w:t>
      </w:r>
      <w:r>
        <w:t>.</w:t>
      </w:r>
    </w:p>
    <w:p>
      <w:pPr>
        <w:pStyle w:val="ListParagraph"/>
        <w:spacing w:line="360" w:lineRule="auto"/>
        <w:ind w:left="0" w:right="0" w:firstLine="0"/>
        <w:rPr/>
      </w:pPr>
      <w:r>
        <w:t>3. Содержание обучения</w:t>
      </w:r>
    </w:p>
    <w:p>
      <w:pPr>
        <w:pStyle w:val="ListParagraph"/>
        <w:spacing w:line="360" w:lineRule="auto"/>
        <w:ind w:left="0" w:right="0" w:firstLine="0"/>
        <w:rPr/>
      </w:pPr>
      <w:r>
        <w:t xml:space="preserve">4. </w:t>
      </w:r>
      <w:r>
        <w:t>Планируемые результаты ос</w:t>
      </w:r>
      <w: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/>
      </w:pPr>
      <w:r>
        <w:t>5. 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6.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/>
      </w:pPr>
      <w:r>
        <w:t>7.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/>
      </w:pPr>
      <w:r>
        <w:t>8. Цифровые образовательные ресурсы</w:t>
      </w:r>
    </w:p>
    <w:p>
      <w:pPr>
        <w:pStyle w:val="ListParagraph"/>
        <w:spacing w:line="360" w:lineRule="auto"/>
        <w:ind w:left="720" w:right="0" w:firstLine="0"/>
        <w:rPr/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 w:val="on"/>
      <w:lvlText w:val="%1.%2."/>
      <w:lvlJc w:val="left"/>
      <w:pPr>
        <w:ind w:left="780" w:hanging="420"/>
      </w:pPr>
      <w:rPr>
        <w:rFonts w:hint="default"/>
      </w:rPr>
    </w:lvl>
    <w:lvl w:ilvl="2" w:tentative="0">
      <w:start w:val="1"/>
      <w:numFmt w:val="decimal"/>
      <w:isLgl w:val="on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 w:val="on"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"/>
  </w:num>
  <w:num w:numId="5">
    <w:abstractNumId w:val="23"/>
  </w:num>
  <w:num w:numId="6">
    <w:abstractNumId w:val="26"/>
  </w:num>
  <w:num w:numId="7">
    <w:abstractNumId w:val="15"/>
  </w:num>
  <w:num w:numId="8">
    <w:abstractNumId w:val="10"/>
  </w:num>
  <w:num w:numId="9">
    <w:abstractNumId w:val="19"/>
  </w:num>
  <w:num w:numId="10">
    <w:abstractNumId w:val="0"/>
  </w:num>
  <w:num w:numId="11">
    <w:abstractNumId w:val="18"/>
  </w:num>
  <w:num w:numId="12">
    <w:abstractNumId w:val="25"/>
  </w:num>
  <w:num w:numId="13">
    <w:abstractNumId w:val="3"/>
  </w:num>
  <w:num w:numId="14">
    <w:abstractNumId w:val="20"/>
  </w:num>
  <w:num w:numId="15">
    <w:abstractNumId w:val="8"/>
  </w:num>
  <w:num w:numId="16">
    <w:abstractNumId w:val="4"/>
  </w:num>
  <w:num w:numId="17">
    <w:abstractNumId w:val="12"/>
  </w:num>
  <w:num w:numId="18">
    <w:abstractNumId w:val="16"/>
  </w:num>
  <w:num w:numId="19">
    <w:abstractNumId w:val="9"/>
  </w:num>
  <w:num w:numId="20">
    <w:abstractNumId w:val="11"/>
  </w:num>
  <w:num w:numId="2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"/>
  </w:num>
  <w:num w:numId="25">
    <w:abstractNumId w:val="22"/>
  </w:num>
  <w:num w:numId="26">
    <w:abstractNumId w:val="21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54F2F"/>
    <w:rsid w:val="00012E19"/>
    <w:rsid w:val="0002309B"/>
    <w:rsid w:val="00030341"/>
    <w:rsid w:val="000B4355"/>
    <w:rsid w:val="001843F5"/>
    <w:rsid w:val="001F5AC9"/>
    <w:rsid w:val="003B5144"/>
    <w:rsid w:val="003F0BA7"/>
    <w:rsid w:val="00492DDD"/>
    <w:rsid w:val="004F4363"/>
    <w:rsid w:val="00521E12"/>
    <w:rsid w:val="00654F2F"/>
    <w:rsid w:val="00687397"/>
    <w:rsid w:val="006B48DE"/>
    <w:rsid w:val="006C5C7F"/>
    <w:rsid w:val="0070233A"/>
    <w:rsid w:val="00706BEE"/>
    <w:rsid w:val="007655C3"/>
    <w:rsid w:val="00785CDD"/>
    <w:rsid w:val="00864AD2"/>
    <w:rsid w:val="008F4963"/>
    <w:rsid w:val="00973268"/>
    <w:rsid w:val="0098132C"/>
    <w:rsid w:val="009D05B2"/>
    <w:rsid w:val="009F101C"/>
    <w:rsid w:val="00BD406E"/>
    <w:rsid w:val="00BD688E"/>
    <w:rsid w:val="00CC5637"/>
    <w:rsid w:val="00CF4664"/>
    <w:rsid w:val="00D32FD7"/>
    <w:rsid w:val="00D54EEC"/>
    <w:rsid w:val="00EB72F8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